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16175" w14:textId="77777777" w:rsidR="00D50C74" w:rsidRDefault="00000000">
      <w:pPr>
        <w:keepNext/>
        <w:pBdr>
          <w:top w:val="single" w:sz="8" w:space="8" w:color="8B0000"/>
          <w:bottom w:val="single" w:sz="8" w:space="8" w:color="8B0000"/>
        </w:pBdr>
        <w:spacing w:after="100" w:line="276" w:lineRule="auto"/>
        <w:jc w:val="center"/>
      </w:pPr>
      <w:r>
        <w:rPr>
          <w:rFonts w:ascii="Arial" w:eastAsia="Arial" w:hAnsi="Arial" w:cs="Arial"/>
          <w:b/>
          <w:bCs/>
          <w:color w:val="8B0000"/>
          <w:sz w:val="36"/>
          <w:szCs w:val="36"/>
        </w:rPr>
        <w:t>⚠️  CRITICAL PROCEDURAL ADVISORY  ⚠️</w:t>
      </w:r>
    </w:p>
    <w:p w14:paraId="6FA4A077" w14:textId="77777777" w:rsidR="00D50C74" w:rsidRDefault="00D50C74">
      <w:pPr>
        <w:spacing w:after="60" w:line="276" w:lineRule="auto"/>
      </w:pPr>
    </w:p>
    <w:p w14:paraId="19ACE2B4" w14:textId="77777777" w:rsidR="00D50C74" w:rsidRDefault="00000000">
      <w:pPr>
        <w:keepNext/>
        <w:spacing w:after="40" w:line="276" w:lineRule="auto"/>
        <w:jc w:val="center"/>
      </w:pPr>
      <w:r>
        <w:rPr>
          <w:rFonts w:ascii="Arial" w:eastAsia="Arial" w:hAnsi="Arial" w:cs="Arial"/>
          <w:b/>
          <w:bCs/>
          <w:color w:val="8B0000"/>
          <w:sz w:val="28"/>
          <w:szCs w:val="28"/>
        </w:rPr>
        <w:t>MUST BE RESOLVED BEFORE FILING ANY COMPLAINT</w:t>
      </w:r>
    </w:p>
    <w:p w14:paraId="1881D568" w14:textId="77777777" w:rsidR="00D50C74" w:rsidRDefault="00000000">
      <w:pPr>
        <w:keepNext/>
        <w:spacing w:after="200" w:line="276" w:lineRule="auto"/>
        <w:jc w:val="center"/>
      </w:pPr>
      <w:r>
        <w:rPr>
          <w:rFonts w:ascii="Arial" w:eastAsia="Arial" w:hAnsi="Arial" w:cs="Arial"/>
          <w:b/>
          <w:bCs/>
          <w:color w:val="8B0000"/>
        </w:rPr>
        <w:t>CORPORATE SELF-REPRESENTATION IN CALIFORNIA SUPERIOR COURT</w:t>
      </w:r>
    </w:p>
    <w:p w14:paraId="47E4AB3B" w14:textId="77777777" w:rsidR="00D50C74" w:rsidRDefault="00D50C74">
      <w:pPr>
        <w:spacing w:after="100" w:line="276" w:lineRule="auto"/>
      </w:pPr>
    </w:p>
    <w:p w14:paraId="2A89D5F8" w14:textId="77777777" w:rsidR="00D50C74" w:rsidRDefault="00000000">
      <w:pPr>
        <w:spacing w:after="200" w:line="276" w:lineRule="auto"/>
      </w:pPr>
      <w:r>
        <w:rPr>
          <w:b/>
          <w:bCs/>
          <w:color w:val="000000"/>
        </w:rPr>
        <w:t xml:space="preserve">Prepared for: </w:t>
      </w:r>
      <w:r>
        <w:rPr>
          <w:color w:val="000000"/>
        </w:rPr>
        <w:t>Mark Hamilton, CEO, Bella Kitchen, Bath &amp; Flooring, Inc.</w:t>
      </w:r>
    </w:p>
    <w:p w14:paraId="04E25547" w14:textId="77777777" w:rsidR="00D50C74" w:rsidRDefault="00000000">
      <w:pPr>
        <w:spacing w:after="200" w:line="276" w:lineRule="auto"/>
      </w:pPr>
      <w:r>
        <w:rPr>
          <w:b/>
          <w:bCs/>
          <w:color w:val="000000"/>
        </w:rPr>
        <w:t xml:space="preserve">Prepared by: </w:t>
      </w:r>
      <w:r>
        <w:rPr>
          <w:color w:val="000000"/>
        </w:rPr>
        <w:t>Vince Caruso Consulting / Day 7 Public Benefit Corporation</w:t>
      </w:r>
    </w:p>
    <w:p w14:paraId="79EE3186" w14:textId="77777777" w:rsidR="00D50C74" w:rsidRDefault="00000000">
      <w:pPr>
        <w:spacing w:after="200" w:line="276" w:lineRule="auto"/>
      </w:pPr>
      <w:r>
        <w:rPr>
          <w:b/>
          <w:bCs/>
          <w:color w:val="000000"/>
        </w:rPr>
        <w:t xml:space="preserve">Date: </w:t>
      </w:r>
      <w:r>
        <w:rPr>
          <w:color w:val="000000"/>
        </w:rPr>
        <w:t>March 30, 2026</w:t>
      </w:r>
    </w:p>
    <w:p w14:paraId="41EECC61" w14:textId="77777777" w:rsidR="00D50C74" w:rsidRDefault="00000000">
      <w:pPr>
        <w:keepNext/>
        <w:spacing w:after="200" w:line="276" w:lineRule="auto"/>
      </w:pPr>
      <w:r>
        <w:rPr>
          <w:b/>
          <w:bCs/>
          <w:color w:val="000000"/>
        </w:rPr>
        <w:t xml:space="preserve">Priority: </w:t>
      </w:r>
      <w:r>
        <w:rPr>
          <w:b/>
          <w:bCs/>
          <w:color w:val="8B0000"/>
        </w:rPr>
        <w:t>HIGHEST — THRESHOLD ISSUE</w:t>
      </w:r>
    </w:p>
    <w:p w14:paraId="012371E5" w14:textId="77777777" w:rsidR="00D50C74" w:rsidRDefault="00D50C74">
      <w:pPr>
        <w:spacing w:after="200" w:line="276" w:lineRule="auto"/>
      </w:pPr>
    </w:p>
    <w:p w14:paraId="47D50AB3" w14:textId="77777777" w:rsidR="00D50C74" w:rsidRDefault="00000000">
      <w:pPr>
        <w:keepNext/>
        <w:spacing w:after="200" w:line="276" w:lineRule="auto"/>
      </w:pPr>
      <w:r>
        <w:rPr>
          <w:rFonts w:ascii="Arial" w:eastAsia="Arial" w:hAnsi="Arial" w:cs="Arial"/>
          <w:b/>
          <w:bCs/>
          <w:color w:val="1F4E79"/>
          <w:sz w:val="28"/>
          <w:szCs w:val="28"/>
        </w:rPr>
        <w:t>THE ISSUE</w:t>
      </w:r>
    </w:p>
    <w:p w14:paraId="53084AD2" w14:textId="77777777" w:rsidR="00D50C74" w:rsidRDefault="00000000">
      <w:pPr>
        <w:spacing w:after="200" w:line="276" w:lineRule="auto"/>
      </w:pPr>
      <w:r>
        <w:rPr>
          <w:color w:val="000000"/>
        </w:rPr>
        <w:t xml:space="preserve">Under California law, a corporation </w:t>
      </w:r>
      <w:r>
        <w:rPr>
          <w:b/>
          <w:bCs/>
          <w:color w:val="000000"/>
        </w:rPr>
        <w:t>cannot represent itself</w:t>
      </w:r>
      <w:r>
        <w:rPr>
          <w:color w:val="000000"/>
        </w:rPr>
        <w:t xml:space="preserve"> in Superior Court proceedings. Unlike an individual who can appear “in propria persona” (pro per), a corporation is an artificial legal entity that can only appear through a licensed attorney. This rule is firmly established by California appellate courts, including </w:t>
      </w:r>
      <w:r>
        <w:rPr>
          <w:i/>
          <w:iCs/>
          <w:color w:val="000000"/>
        </w:rPr>
        <w:t>Merco Construction Engineers, Inc. v. Municipal Court</w:t>
      </w:r>
      <w:r>
        <w:rPr>
          <w:color w:val="000000"/>
        </w:rPr>
        <w:t xml:space="preserve"> (1978) 21 Cal.3d 724, and </w:t>
      </w:r>
      <w:r>
        <w:rPr>
          <w:i/>
          <w:iCs/>
          <w:color w:val="000000"/>
        </w:rPr>
        <w:t>CLD Construction, Inc. v. City of San Ramon</w:t>
      </w:r>
      <w:r>
        <w:rPr>
          <w:color w:val="000000"/>
        </w:rPr>
        <w:t xml:space="preserve"> (2004) 120 Cal.App.4th 1141. The rule applies in both unlimited and limited civil cases in Superior Court.</w:t>
      </w:r>
    </w:p>
    <w:p w14:paraId="002B3EC6" w14:textId="77777777" w:rsidR="00D50C74" w:rsidRDefault="00000000">
      <w:pPr>
        <w:spacing w:after="200" w:line="276" w:lineRule="auto"/>
      </w:pPr>
      <w:r>
        <w:rPr>
          <w:color w:val="000000"/>
        </w:rPr>
        <w:t xml:space="preserve">Bella Kitchen, Bath &amp; Flooring, Inc. is a California corporation (Entity No. 5309941, incorporated October 26, 2022). As a corporation, it </w:t>
      </w:r>
      <w:r>
        <w:rPr>
          <w:b/>
          <w:bCs/>
          <w:color w:val="000000"/>
        </w:rPr>
        <w:t>cannot file or prosecute a lawsuit in Superior Court without an attorney</w:t>
      </w:r>
      <w:r>
        <w:rPr>
          <w:color w:val="000000"/>
        </w:rPr>
        <w:t>. If Mark Hamilton attempts to file complaints on behalf of the corporation without attorney representation, the court may refuse to accept the filings, opposing counsel may move to strike the pleadings, or any default judgment obtained could be void and subject to vacation.</w:t>
      </w:r>
    </w:p>
    <w:p w14:paraId="1613D54C" w14:textId="77777777" w:rsidR="00D50C74" w:rsidRDefault="00000000">
      <w:pPr>
        <w:keepNext/>
        <w:spacing w:after="200" w:line="276" w:lineRule="auto"/>
      </w:pPr>
      <w:r>
        <w:rPr>
          <w:b/>
          <w:bCs/>
          <w:color w:val="000000"/>
        </w:rPr>
        <w:t>This issue affects ALL THREE CASES and must be resolved BEFORE the first complaint is filed.</w:t>
      </w:r>
    </w:p>
    <w:p w14:paraId="11EA9443" w14:textId="77777777" w:rsidR="00D50C74" w:rsidRDefault="00D50C74">
      <w:pPr>
        <w:spacing w:after="100" w:line="276" w:lineRule="auto"/>
      </w:pPr>
    </w:p>
    <w:p w14:paraId="0A8E41B8" w14:textId="77777777" w:rsidR="007B1C20" w:rsidRDefault="007B1C20">
      <w:pPr>
        <w:rPr>
          <w:rFonts w:ascii="Arial" w:eastAsia="Arial" w:hAnsi="Arial" w:cs="Arial"/>
          <w:b/>
          <w:bCs/>
          <w:color w:val="1F4E79"/>
          <w:sz w:val="28"/>
          <w:szCs w:val="28"/>
        </w:rPr>
      </w:pPr>
      <w:r>
        <w:rPr>
          <w:rFonts w:ascii="Arial" w:eastAsia="Arial" w:hAnsi="Arial" w:cs="Arial"/>
          <w:b/>
          <w:bCs/>
          <w:color w:val="1F4E79"/>
          <w:sz w:val="28"/>
          <w:szCs w:val="28"/>
        </w:rPr>
        <w:br w:type="page"/>
      </w:r>
    </w:p>
    <w:p w14:paraId="6F469367" w14:textId="0BEC7D44" w:rsidR="00D50C74" w:rsidRDefault="00000000">
      <w:pPr>
        <w:keepNext/>
        <w:spacing w:after="200" w:line="276" w:lineRule="auto"/>
      </w:pPr>
      <w:r>
        <w:rPr>
          <w:rFonts w:ascii="Arial" w:eastAsia="Arial" w:hAnsi="Arial" w:cs="Arial"/>
          <w:b/>
          <w:bCs/>
          <w:color w:val="1F4E79"/>
          <w:sz w:val="28"/>
          <w:szCs w:val="28"/>
        </w:rPr>
        <w:lastRenderedPageBreak/>
        <w:t>THE OPTIONS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3580"/>
        <w:gridCol w:w="3580"/>
      </w:tblGrid>
      <w:tr w:rsidR="00D50C74" w14:paraId="13081B3F"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tcPr>
          <w:p w14:paraId="0191CA3E" w14:textId="77777777" w:rsidR="00D50C74" w:rsidRDefault="00000000">
            <w:pPr>
              <w:spacing w:line="276" w:lineRule="auto"/>
            </w:pPr>
            <w:r>
              <w:rPr>
                <w:b/>
                <w:bCs/>
                <w:color w:val="000000"/>
                <w:sz w:val="22"/>
                <w:szCs w:val="22"/>
              </w:rPr>
              <w:t>Option</w:t>
            </w:r>
          </w:p>
        </w:tc>
        <w:tc>
          <w:tcPr>
            <w:tcW w:w="358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tcPr>
          <w:p w14:paraId="510860BF" w14:textId="77777777" w:rsidR="00D50C74" w:rsidRDefault="00000000">
            <w:pPr>
              <w:spacing w:line="276" w:lineRule="auto"/>
            </w:pPr>
            <w:r>
              <w:rPr>
                <w:b/>
                <w:bCs/>
                <w:color w:val="000000"/>
                <w:sz w:val="22"/>
                <w:szCs w:val="22"/>
              </w:rPr>
              <w:t>Description</w:t>
            </w:r>
          </w:p>
        </w:tc>
        <w:tc>
          <w:tcPr>
            <w:tcW w:w="3580" w:type="dxa"/>
            <w:tcBorders>
              <w:top w:val="single" w:sz="1" w:space="0" w:color="CCCCCC"/>
              <w:left w:val="single" w:sz="1" w:space="0" w:color="CCCCCC"/>
              <w:bottom w:val="single" w:sz="1" w:space="0" w:color="CCCCCC"/>
              <w:right w:val="single" w:sz="1" w:space="0" w:color="CCCCCC"/>
            </w:tcBorders>
            <w:shd w:val="clear" w:color="auto" w:fill="D5E8F0"/>
            <w:tcMar>
              <w:top w:w="60" w:type="dxa"/>
              <w:left w:w="100" w:type="dxa"/>
              <w:bottom w:w="60" w:type="dxa"/>
              <w:right w:w="100" w:type="dxa"/>
            </w:tcMar>
          </w:tcPr>
          <w:p w14:paraId="49747061" w14:textId="77777777" w:rsidR="00D50C74" w:rsidRDefault="00000000">
            <w:pPr>
              <w:spacing w:line="276" w:lineRule="auto"/>
            </w:pPr>
            <w:r>
              <w:rPr>
                <w:b/>
                <w:bCs/>
                <w:color w:val="000000"/>
                <w:sz w:val="22"/>
                <w:szCs w:val="22"/>
              </w:rPr>
              <w:t>Cost / Implications</w:t>
            </w:r>
          </w:p>
        </w:tc>
      </w:tr>
      <w:tr w:rsidR="00D50C74" w14:paraId="0894A140"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E8F5E9"/>
            <w:tcMar>
              <w:top w:w="60" w:type="dxa"/>
              <w:left w:w="100" w:type="dxa"/>
              <w:bottom w:w="60" w:type="dxa"/>
              <w:right w:w="100" w:type="dxa"/>
            </w:tcMar>
          </w:tcPr>
          <w:p w14:paraId="390A09D7" w14:textId="77777777" w:rsidR="00D50C74" w:rsidRDefault="00000000">
            <w:pPr>
              <w:spacing w:line="276" w:lineRule="auto"/>
            </w:pPr>
            <w:r>
              <w:rPr>
                <w:b/>
                <w:bCs/>
                <w:color w:val="006600"/>
                <w:sz w:val="20"/>
              </w:rPr>
              <w:t>Option 1: Limited-Scope Attorney</w:t>
            </w:r>
          </w:p>
        </w:tc>
        <w:tc>
          <w:tcPr>
            <w:tcW w:w="358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512861A9" w14:textId="77777777" w:rsidR="00D50C74" w:rsidRDefault="00000000">
            <w:pPr>
              <w:spacing w:line="276" w:lineRule="auto"/>
            </w:pPr>
            <w:r>
              <w:rPr>
                <w:color w:val="000000"/>
                <w:sz w:val="22"/>
                <w:szCs w:val="22"/>
              </w:rPr>
              <w:t>Retain a California construction attorney for LIMITED-SCOPE representation — attorney files the complaints, lis pendens, and initial pleadings on behalf of the corporation. Mark handles everything else (demand letters, settlement negotiation, evidence gathering). Attorney appears as counsel of record but is engaged only for specific filing tasks.</w:t>
            </w:r>
          </w:p>
        </w:tc>
        <w:tc>
          <w:tcPr>
            <w:tcW w:w="358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15376118" w14:textId="77777777" w:rsidR="00D50C74" w:rsidRDefault="00000000">
            <w:pPr>
              <w:spacing w:line="276" w:lineRule="auto"/>
            </w:pPr>
            <w:r>
              <w:rPr>
                <w:color w:val="000000"/>
                <w:sz w:val="22"/>
                <w:szCs w:val="22"/>
              </w:rPr>
              <w:t>$2,000–$5,000 total across all 3 cases. Attorney does the filing; Mark does all the work. The documents we’ve prepared are attorney-quality and ready to file — the attorney would review, potentially make minor adjustments, and sign/file. This is the RECOMMENDED approach.</w:t>
            </w:r>
          </w:p>
        </w:tc>
      </w:tr>
      <w:tr w:rsidR="00D50C74" w14:paraId="23B97BF8"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48FACB52" w14:textId="77777777" w:rsidR="00D50C74" w:rsidRDefault="00000000">
            <w:pPr>
              <w:spacing w:line="276" w:lineRule="auto"/>
            </w:pPr>
            <w:r>
              <w:rPr>
                <w:b/>
                <w:bCs/>
                <w:color w:val="000000"/>
                <w:sz w:val="22"/>
                <w:szCs w:val="22"/>
              </w:rPr>
              <w:t>Option 2: Full Attorney Retention</w:t>
            </w:r>
          </w:p>
        </w:tc>
        <w:tc>
          <w:tcPr>
            <w:tcW w:w="358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5856F609" w14:textId="77777777" w:rsidR="00D50C74" w:rsidRDefault="00000000">
            <w:pPr>
              <w:spacing w:line="276" w:lineRule="auto"/>
            </w:pPr>
            <w:r>
              <w:rPr>
                <w:color w:val="000000"/>
                <w:sz w:val="22"/>
                <w:szCs w:val="22"/>
              </w:rPr>
              <w:t>Retain a construction attorney for full representation. Attorney handles all filings, court appearances, and correspondence. Mark provides documentation and input.</w:t>
            </w:r>
          </w:p>
        </w:tc>
        <w:tc>
          <w:tcPr>
            <w:tcW w:w="358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1B298AAB" w14:textId="77777777" w:rsidR="00D50C74" w:rsidRDefault="00000000">
            <w:pPr>
              <w:spacing w:line="276" w:lineRule="auto"/>
            </w:pPr>
            <w:r>
              <w:rPr>
                <w:color w:val="000000"/>
                <w:sz w:val="22"/>
                <w:szCs w:val="22"/>
              </w:rPr>
              <w:t>$15,000–$30,000+ per case. Expensive but eliminates all procedural risk. The documents we’ve prepared significantly reduce the attorney’s workload and therefore cost.</w:t>
            </w:r>
          </w:p>
        </w:tc>
      </w:tr>
      <w:tr w:rsidR="00D50C74" w14:paraId="741561F8"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1DD59543" w14:textId="77777777" w:rsidR="00D50C74" w:rsidRDefault="00000000">
            <w:pPr>
              <w:spacing w:line="276" w:lineRule="auto"/>
            </w:pPr>
            <w:r>
              <w:rPr>
                <w:b/>
                <w:bCs/>
                <w:color w:val="000000"/>
                <w:sz w:val="22"/>
                <w:szCs w:val="22"/>
              </w:rPr>
              <w:t>Option 3: Assign Claims to Mark Individually</w:t>
            </w:r>
          </w:p>
        </w:tc>
        <w:tc>
          <w:tcPr>
            <w:tcW w:w="358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25CBFFB6" w14:textId="77777777" w:rsidR="00D50C74" w:rsidRDefault="00000000">
            <w:pPr>
              <w:spacing w:line="276" w:lineRule="auto"/>
            </w:pPr>
            <w:r>
              <w:rPr>
                <w:color w:val="000000"/>
                <w:sz w:val="22"/>
                <w:szCs w:val="22"/>
              </w:rPr>
              <w:t>The corporation assigns its contract claims to Mark Hamilton as an individual. Mark then sues in his own name as assignee. This is legally permissible but complex and may invite scrutiny.</w:t>
            </w:r>
          </w:p>
        </w:tc>
        <w:tc>
          <w:tcPr>
            <w:tcW w:w="358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1E1DB0D3" w14:textId="77777777" w:rsidR="00D50C74" w:rsidRDefault="00000000">
            <w:pPr>
              <w:spacing w:line="276" w:lineRule="auto"/>
            </w:pPr>
            <w:r>
              <w:rPr>
                <w:color w:val="000000"/>
                <w:sz w:val="22"/>
                <w:szCs w:val="22"/>
              </w:rPr>
              <w:t>$0 attorney fees but procedurally risky. The assignment must be properly documented, and defendants may challenge standing. Not recommended unless budget is extremely tight.</w:t>
            </w:r>
          </w:p>
        </w:tc>
      </w:tr>
      <w:tr w:rsidR="00D50C74" w14:paraId="4F396839"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735C66B2" w14:textId="77777777" w:rsidR="00D50C74" w:rsidRDefault="00000000">
            <w:pPr>
              <w:spacing w:line="276" w:lineRule="auto"/>
            </w:pPr>
            <w:r>
              <w:rPr>
                <w:b/>
                <w:bCs/>
                <w:color w:val="000000"/>
                <w:sz w:val="22"/>
                <w:szCs w:val="22"/>
              </w:rPr>
              <w:t>Option 4: Small Claims (Partial)</w:t>
            </w:r>
          </w:p>
        </w:tc>
        <w:tc>
          <w:tcPr>
            <w:tcW w:w="358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3ADCA164" w14:textId="77777777" w:rsidR="00D50C74" w:rsidRDefault="00000000">
            <w:pPr>
              <w:spacing w:line="276" w:lineRule="auto"/>
            </w:pPr>
            <w:r>
              <w:rPr>
                <w:color w:val="000000"/>
                <w:sz w:val="22"/>
                <w:szCs w:val="22"/>
              </w:rPr>
              <w:t>For claims under $6,250 (corporation limit) or $12,500 (individual limit), file in Small Claims Court where a corporate officer CAN appear. However, ALL THREE claims exceed these limits.</w:t>
            </w:r>
          </w:p>
        </w:tc>
        <w:tc>
          <w:tcPr>
            <w:tcW w:w="3580" w:type="dxa"/>
            <w:tcBorders>
              <w:top w:val="single" w:sz="1" w:space="0" w:color="CCCCCC"/>
              <w:left w:val="single" w:sz="1" w:space="0" w:color="CCCCCC"/>
              <w:bottom w:val="single" w:sz="1" w:space="0" w:color="CCCCCC"/>
              <w:right w:val="single" w:sz="1" w:space="0" w:color="CCCCCC"/>
            </w:tcBorders>
            <w:tcMar>
              <w:top w:w="60" w:type="dxa"/>
              <w:left w:w="100" w:type="dxa"/>
              <w:bottom w:w="60" w:type="dxa"/>
              <w:right w:w="100" w:type="dxa"/>
            </w:tcMar>
          </w:tcPr>
          <w:p w14:paraId="3D28545E" w14:textId="77777777" w:rsidR="00D50C74" w:rsidRDefault="00000000">
            <w:pPr>
              <w:spacing w:line="276" w:lineRule="auto"/>
            </w:pPr>
            <w:r>
              <w:rPr>
                <w:color w:val="000000"/>
                <w:sz w:val="22"/>
                <w:szCs w:val="22"/>
              </w:rPr>
              <w:t>NOT VIABLE for any of these cases. Allen is $47,613.80, Albitar is $27,393.48, Maldonado is $23,604.71 — all far exceed small claims limits.</w:t>
            </w:r>
          </w:p>
        </w:tc>
      </w:tr>
    </w:tbl>
    <w:p w14:paraId="686036E2" w14:textId="77777777" w:rsidR="00D50C74" w:rsidRDefault="00D50C74">
      <w:pPr>
        <w:spacing w:after="200" w:line="276" w:lineRule="auto"/>
      </w:pPr>
    </w:p>
    <w:p w14:paraId="41C6D2B8" w14:textId="77777777" w:rsidR="007B1C20" w:rsidRDefault="007B1C20">
      <w:pPr>
        <w:rPr>
          <w:rFonts w:ascii="Arial" w:eastAsia="Arial" w:hAnsi="Arial" w:cs="Arial"/>
          <w:b/>
          <w:bCs/>
          <w:color w:val="1F4E79"/>
          <w:sz w:val="28"/>
          <w:szCs w:val="28"/>
        </w:rPr>
      </w:pPr>
      <w:r>
        <w:rPr>
          <w:rFonts w:ascii="Arial" w:eastAsia="Arial" w:hAnsi="Arial" w:cs="Arial"/>
          <w:b/>
          <w:bCs/>
          <w:color w:val="1F4E79"/>
          <w:sz w:val="28"/>
          <w:szCs w:val="28"/>
        </w:rPr>
        <w:br w:type="page"/>
      </w:r>
    </w:p>
    <w:p w14:paraId="4E2676AF" w14:textId="0E7BE32C" w:rsidR="00D50C74" w:rsidRDefault="00000000">
      <w:pPr>
        <w:keepNext/>
        <w:spacing w:after="200" w:line="276" w:lineRule="auto"/>
      </w:pPr>
      <w:r>
        <w:rPr>
          <w:rFonts w:ascii="Arial" w:eastAsia="Arial" w:hAnsi="Arial" w:cs="Arial"/>
          <w:b/>
          <w:bCs/>
          <w:color w:val="1F4E79"/>
          <w:sz w:val="28"/>
          <w:szCs w:val="28"/>
        </w:rPr>
        <w:lastRenderedPageBreak/>
        <w:t>STRONG RECOMMENDATION</w:t>
      </w:r>
    </w:p>
    <w:p w14:paraId="34A3F7B5" w14:textId="77777777" w:rsidR="00D50C74" w:rsidRDefault="00000000">
      <w:pPr>
        <w:spacing w:after="200" w:line="276" w:lineRule="auto"/>
      </w:pPr>
      <w:r>
        <w:rPr>
          <w:b/>
          <w:bCs/>
          <w:color w:val="000000"/>
        </w:rPr>
        <w:t>Option 1 (Limited-Scope Attorney) is the recommended approach.</w:t>
      </w:r>
      <w:r>
        <w:rPr>
          <w:color w:val="000000"/>
        </w:rPr>
        <w:t xml:space="preserve"> Here’s why it works for Mark:</w:t>
      </w:r>
    </w:p>
    <w:p w14:paraId="1162B652" w14:textId="77777777" w:rsidR="00D50C74" w:rsidRDefault="00000000">
      <w:pPr>
        <w:spacing w:after="200" w:line="276" w:lineRule="auto"/>
      </w:pPr>
      <w:r>
        <w:rPr>
          <w:b/>
          <w:bCs/>
          <w:color w:val="000000"/>
        </w:rPr>
        <w:t xml:space="preserve">1. Cost-effective: </w:t>
      </w:r>
      <w:r>
        <w:rPr>
          <w:color w:val="000000"/>
        </w:rPr>
        <w:t>A limited-scope engagement for filing three cases should cost $2,000–$5,000 total. The attorney isn’t doing the legal research or document drafting — that work is already done. The attorney is reviewing finished documents, making any necessary adjustments for local court preferences, and filing them. This is a fraction of the $15,000–$30,000 per case that full-service representation would cost.</w:t>
      </w:r>
    </w:p>
    <w:p w14:paraId="12F919EB" w14:textId="77777777" w:rsidR="00D50C74" w:rsidRDefault="00000000">
      <w:pPr>
        <w:spacing w:after="200" w:line="276" w:lineRule="auto"/>
      </w:pPr>
      <w:r>
        <w:rPr>
          <w:b/>
          <w:bCs/>
          <w:color w:val="000000"/>
        </w:rPr>
        <w:t xml:space="preserve">2. Documents are ready: </w:t>
      </w:r>
      <w:r>
        <w:rPr>
          <w:color w:val="000000"/>
        </w:rPr>
        <w:t>Every complaint, lis pendens, and supporting document has been prepared to attorney-quality standards with correct statutory citations, proper court formatting, and comprehensive cause-of-action pleading. A competent construction attorney should be able to review and file within a few days.</w:t>
      </w:r>
    </w:p>
    <w:p w14:paraId="796413B3" w14:textId="77777777" w:rsidR="00D50C74" w:rsidRDefault="00000000">
      <w:pPr>
        <w:spacing w:after="200" w:line="276" w:lineRule="auto"/>
      </w:pPr>
      <w:r>
        <w:rPr>
          <w:b/>
          <w:bCs/>
          <w:color w:val="000000"/>
        </w:rPr>
        <w:t xml:space="preserve">3. Mark stays in control: </w:t>
      </w:r>
      <w:r>
        <w:rPr>
          <w:color w:val="000000"/>
        </w:rPr>
        <w:t>Under California Rules of Professional Conduct, an attorney must follow the client’s direction on settlement decisions. Mark retains full control over strategy, settlement negotiations, and timing. The attorney’s role is limited to the specific tasks defined in the limited-scope engagement agreement.</w:t>
      </w:r>
    </w:p>
    <w:p w14:paraId="0F54B73C" w14:textId="77777777" w:rsidR="00D50C74" w:rsidRDefault="00000000">
      <w:pPr>
        <w:spacing w:after="200" w:line="276" w:lineRule="auto"/>
      </w:pPr>
      <w:r>
        <w:rPr>
          <w:b/>
          <w:bCs/>
          <w:color w:val="000000"/>
        </w:rPr>
        <w:t xml:space="preserve">4. Credibility boost: </w:t>
      </w:r>
      <w:r>
        <w:rPr>
          <w:color w:val="000000"/>
        </w:rPr>
        <w:t>Having an attorney of record, even for limited scope, signals to defendants that this is serious litigation. Homeowners like Kelly Allen (a CPA with litigation experience) are more likely to engage in settlement negotiations when they see a professional filing rather than a pro per corporate officer.</w:t>
      </w:r>
    </w:p>
    <w:p w14:paraId="4006405B" w14:textId="77777777" w:rsidR="00D50C74" w:rsidRDefault="00D50C74">
      <w:pPr>
        <w:spacing w:after="100" w:line="276" w:lineRule="auto"/>
      </w:pPr>
    </w:p>
    <w:p w14:paraId="15724EF8" w14:textId="77777777" w:rsidR="007B1C20" w:rsidRDefault="007B1C20">
      <w:pPr>
        <w:rPr>
          <w:rFonts w:ascii="Arial" w:eastAsia="Arial" w:hAnsi="Arial" w:cs="Arial"/>
          <w:b/>
          <w:bCs/>
          <w:color w:val="1F4E79"/>
          <w:sz w:val="28"/>
          <w:szCs w:val="28"/>
        </w:rPr>
      </w:pPr>
      <w:r>
        <w:rPr>
          <w:rFonts w:ascii="Arial" w:eastAsia="Arial" w:hAnsi="Arial" w:cs="Arial"/>
          <w:b/>
          <w:bCs/>
          <w:color w:val="1F4E79"/>
          <w:sz w:val="28"/>
          <w:szCs w:val="28"/>
        </w:rPr>
        <w:br w:type="page"/>
      </w:r>
    </w:p>
    <w:p w14:paraId="4ADFA871" w14:textId="58E2F232" w:rsidR="00D50C74" w:rsidRDefault="00000000">
      <w:pPr>
        <w:keepNext/>
        <w:spacing w:after="200" w:line="276" w:lineRule="auto"/>
      </w:pPr>
      <w:r>
        <w:rPr>
          <w:rFonts w:ascii="Arial" w:eastAsia="Arial" w:hAnsi="Arial" w:cs="Arial"/>
          <w:b/>
          <w:bCs/>
          <w:color w:val="1F4E79"/>
          <w:sz w:val="28"/>
          <w:szCs w:val="28"/>
        </w:rPr>
        <w:lastRenderedPageBreak/>
        <w:t>IMMEDIATE ACTION ITEMS</w:t>
      </w:r>
    </w:p>
    <w:p w14:paraId="014DD889" w14:textId="77777777" w:rsidR="00D50C74" w:rsidRDefault="00000000">
      <w:pPr>
        <w:spacing w:after="200" w:line="276" w:lineRule="auto"/>
      </w:pPr>
      <w:r>
        <w:rPr>
          <w:b/>
          <w:bCs/>
          <w:color w:val="000000"/>
        </w:rPr>
        <w:t xml:space="preserve">1. DEMAND LETTERS — NO ATTORNEY NEEDED: </w:t>
      </w:r>
      <w:r>
        <w:rPr>
          <w:color w:val="000000"/>
        </w:rPr>
        <w:t>The demand letters can be sent IMMEDIATELY by Mark as CEO of Bella Kitchen. Sending a pre-suit demand letter does not require attorney representation. Send all three demand letters this week via certified mail.</w:t>
      </w:r>
    </w:p>
    <w:p w14:paraId="2278BF50" w14:textId="77777777" w:rsidR="00D50C74" w:rsidRDefault="00000000">
      <w:pPr>
        <w:spacing w:after="200" w:line="276" w:lineRule="auto"/>
      </w:pPr>
      <w:r>
        <w:rPr>
          <w:b/>
          <w:bCs/>
          <w:color w:val="000000"/>
        </w:rPr>
        <w:t xml:space="preserve">2. ALBITAR LIEN RELEASE — NO ATTORNEY NEEDED: </w:t>
      </w:r>
      <w:r>
        <w:rPr>
          <w:color w:val="000000"/>
        </w:rPr>
        <w:t>Recording the voluntary lien release is an administrative act, not a court filing. Mark can sign, notarize, and record this immediately.</w:t>
      </w:r>
    </w:p>
    <w:p w14:paraId="0D5014BE" w14:textId="77777777" w:rsidR="00D50C74" w:rsidRDefault="00000000">
      <w:pPr>
        <w:spacing w:after="200" w:line="276" w:lineRule="auto"/>
      </w:pPr>
      <w:r>
        <w:rPr>
          <w:b/>
          <w:bCs/>
          <w:color w:val="000000"/>
        </w:rPr>
        <w:t xml:space="preserve">3. FIND A CONSTRUCTION ATTORNEY — THIS WEEK: </w:t>
      </w:r>
      <w:r>
        <w:rPr>
          <w:color w:val="000000"/>
        </w:rPr>
        <w:t>Mark should identify and engage a California construction attorney for limited-scope representation. Resources include the Orange County Bar Association Lawyer Referral Service ((949) 440-6747), the California State Bar’s Lawyer Referral Directory, and any personal or professional referrals from colleagues in the construction industry.</w:t>
      </w:r>
    </w:p>
    <w:p w14:paraId="5438703C" w14:textId="77777777" w:rsidR="00D50C74" w:rsidRDefault="00000000">
      <w:pPr>
        <w:spacing w:after="200" w:line="276" w:lineRule="auto"/>
      </w:pPr>
      <w:r>
        <w:rPr>
          <w:b/>
          <w:bCs/>
          <w:color w:val="000000"/>
        </w:rPr>
        <w:t xml:space="preserve">4. PROVIDE ATTORNEY WITH DOCUMENT PACKAGE: </w:t>
      </w:r>
      <w:r>
        <w:rPr>
          <w:color w:val="000000"/>
        </w:rPr>
        <w:t>Once engaged, provide the attorney with the complete document package (complaints, lis pendens, supporting exhibits). The attorney reviews, adjusts as needed, and files. Expected turnaround: 3–7 business days.</w:t>
      </w:r>
    </w:p>
    <w:p w14:paraId="1436A0A1" w14:textId="77777777" w:rsidR="00D50C74" w:rsidRDefault="00000000">
      <w:pPr>
        <w:spacing w:after="200" w:line="276" w:lineRule="auto"/>
      </w:pPr>
      <w:r>
        <w:rPr>
          <w:b/>
          <w:bCs/>
          <w:color w:val="000000"/>
        </w:rPr>
        <w:t xml:space="preserve">5. ALLEN COMPLAINT MUST BE FILED BY MAY 15, 2026: </w:t>
      </w:r>
      <w:r>
        <w:rPr>
          <w:color w:val="000000"/>
        </w:rPr>
        <w:t>The 90-day foreclosure deadline for the Allen lien is approximately May 24, 2026. Filing by May 15 provides a 9-day buffer. This is the most time-sensitive filing.</w:t>
      </w:r>
    </w:p>
    <w:p w14:paraId="0EBCEECC" w14:textId="77777777" w:rsidR="00D50C74" w:rsidRDefault="00D50C74">
      <w:pPr>
        <w:spacing w:after="100" w:line="276" w:lineRule="auto"/>
      </w:pPr>
    </w:p>
    <w:p w14:paraId="0121C554" w14:textId="77777777" w:rsidR="00D50C74" w:rsidRDefault="00000000">
      <w:pPr>
        <w:keepNext/>
        <w:spacing w:after="200" w:line="276" w:lineRule="auto"/>
      </w:pPr>
      <w:r>
        <w:rPr>
          <w:rFonts w:ascii="Arial" w:eastAsia="Arial" w:hAnsi="Arial" w:cs="Arial"/>
          <w:b/>
          <w:bCs/>
          <w:color w:val="1F4E79"/>
          <w:sz w:val="28"/>
          <w:szCs w:val="28"/>
        </w:rPr>
        <w:t>IMPACT ON THE DOCUMENT PACKAGE</w:t>
      </w:r>
    </w:p>
    <w:p w14:paraId="079BEA5B" w14:textId="77777777" w:rsidR="00D50C74" w:rsidRDefault="00000000">
      <w:pPr>
        <w:spacing w:after="200" w:line="276" w:lineRule="auto"/>
      </w:pPr>
      <w:r>
        <w:rPr>
          <w:b/>
          <w:bCs/>
          <w:color w:val="000000"/>
        </w:rPr>
        <w:t>Nothing changes about the substance of any document.</w:t>
      </w:r>
      <w:r>
        <w:rPr>
          <w:color w:val="000000"/>
        </w:rPr>
        <w:t xml:space="preserve"> Every complaint, demand letter, discovery request, and supporting document remains exactly as prepared. The only procedural adjustment is that instead of Mark filing the complaints himself as “in propria persona,” an attorney will file them on behalf of Bella Kitchen, Bath &amp; Flooring, Inc. The attorney information block at the top of each complaint will be updated to reflect the filing attorney’s name and State Bar number, replacing the “Mark Hamilton, In Propria Persona” header.</w:t>
      </w:r>
    </w:p>
    <w:p w14:paraId="037A5970" w14:textId="77777777" w:rsidR="00D50C74" w:rsidRDefault="00000000">
      <w:pPr>
        <w:spacing w:after="200" w:line="276" w:lineRule="auto"/>
      </w:pPr>
      <w:r>
        <w:rPr>
          <w:color w:val="000000"/>
        </w:rPr>
        <w:t>All demand letters, settlement negotiations, regulatory complaints, and non-court communications can continue to be handled directly by Mark as CEO. The attorney’s role is strictly limited to court filings and appearances.</w:t>
      </w:r>
    </w:p>
    <w:p w14:paraId="07C5DB65" w14:textId="77777777" w:rsidR="00D50C74" w:rsidRDefault="00D50C74">
      <w:pPr>
        <w:spacing w:after="200" w:line="276" w:lineRule="auto"/>
      </w:pPr>
    </w:p>
    <w:p w14:paraId="4C7E6847" w14:textId="77777777" w:rsidR="00D50C74" w:rsidRDefault="00000000">
      <w:pPr>
        <w:spacing w:after="200" w:line="276" w:lineRule="auto"/>
      </w:pPr>
      <w:r>
        <w:rPr>
          <w:i/>
          <w:iCs/>
          <w:color w:val="666666"/>
          <w:sz w:val="20"/>
          <w:szCs w:val="20"/>
        </w:rPr>
        <w:t>— Prepared by Vince Caruso Consulting / Day 7 Public Benefit Corporation</w:t>
      </w:r>
    </w:p>
    <w:p w14:paraId="28733EED" w14:textId="77777777" w:rsidR="00D50C74" w:rsidRDefault="00000000">
      <w:pPr>
        <w:spacing w:after="200" w:line="276" w:lineRule="auto"/>
      </w:pPr>
      <w:r>
        <w:rPr>
          <w:i/>
          <w:iCs/>
          <w:color w:val="666666"/>
          <w:sz w:val="20"/>
          <w:szCs w:val="20"/>
        </w:rPr>
        <w:t>Methodology: Beard Doctrine™ Multi-Front Pressure Strategy</w:t>
      </w:r>
    </w:p>
    <w:sectPr w:rsidR="00D50C74">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09E9F" w14:textId="77777777" w:rsidR="00B90913" w:rsidRDefault="00B90913">
      <w:r>
        <w:separator/>
      </w:r>
    </w:p>
  </w:endnote>
  <w:endnote w:type="continuationSeparator" w:id="0">
    <w:p w14:paraId="735C3116" w14:textId="77777777" w:rsidR="00B90913" w:rsidRDefault="00B9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E879" w14:textId="77777777" w:rsidR="00D50C74" w:rsidRDefault="00000000">
    <w:pPr>
      <w:jc w:val="center"/>
    </w:pPr>
    <w:r>
      <w:rPr>
        <w:rFonts w:ascii="Arial" w:eastAsia="Arial" w:hAnsi="Arial" w:cs="Arial"/>
        <w:color w:val="8B0000"/>
        <w:sz w:val="16"/>
        <w:szCs w:val="16"/>
      </w:rPr>
      <w:t xml:space="preserve">CRITICAL PROCEDURAL ADVISORY — Page </w:t>
    </w:r>
    <w:r>
      <w:rPr>
        <w:rFonts w:ascii="Arial" w:eastAsia="Arial" w:hAnsi="Arial" w:cs="Arial"/>
        <w:color w:val="8B0000"/>
        <w:sz w:val="16"/>
        <w:szCs w:val="16"/>
      </w:rPr>
      <w:fldChar w:fldCharType="begin"/>
    </w:r>
    <w:r>
      <w:rPr>
        <w:rFonts w:ascii="Arial" w:eastAsia="Arial" w:hAnsi="Arial" w:cs="Arial"/>
        <w:color w:val="8B0000"/>
        <w:sz w:val="16"/>
        <w:szCs w:val="16"/>
      </w:rPr>
      <w:instrText>PAGE</w:instrText>
    </w:r>
    <w:r>
      <w:rPr>
        <w:rFonts w:ascii="Arial" w:eastAsia="Arial" w:hAnsi="Arial" w:cs="Arial"/>
        <w:color w:val="8B0000"/>
        <w:sz w:val="16"/>
        <w:szCs w:val="16"/>
      </w:rPr>
      <w:fldChar w:fldCharType="separate"/>
    </w:r>
    <w:r w:rsidR="007B1C20">
      <w:rPr>
        <w:rFonts w:ascii="Arial" w:eastAsia="Arial" w:hAnsi="Arial" w:cs="Arial"/>
        <w:noProof/>
        <w:color w:val="8B0000"/>
        <w:sz w:val="16"/>
        <w:szCs w:val="16"/>
      </w:rPr>
      <w:t>1</w:t>
    </w:r>
    <w:r>
      <w:rPr>
        <w:rFonts w:ascii="Arial" w:eastAsia="Arial" w:hAnsi="Arial" w:cs="Arial"/>
        <w:color w:val="8B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7D74A" w14:textId="77777777" w:rsidR="00B90913" w:rsidRDefault="00B90913">
      <w:r>
        <w:separator/>
      </w:r>
    </w:p>
  </w:footnote>
  <w:footnote w:type="continuationSeparator" w:id="0">
    <w:p w14:paraId="5E73499E" w14:textId="77777777" w:rsidR="00B90913" w:rsidRDefault="00B90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B2168"/>
    <w:multiLevelType w:val="hybridMultilevel"/>
    <w:tmpl w:val="B802D8C0"/>
    <w:lvl w:ilvl="0" w:tplc="B82AA4D0">
      <w:start w:val="1"/>
      <w:numFmt w:val="bullet"/>
      <w:lvlText w:val="●"/>
      <w:lvlJc w:val="left"/>
      <w:pPr>
        <w:ind w:left="720" w:hanging="360"/>
      </w:pPr>
    </w:lvl>
    <w:lvl w:ilvl="1" w:tplc="3D94B988">
      <w:start w:val="1"/>
      <w:numFmt w:val="bullet"/>
      <w:lvlText w:val="○"/>
      <w:lvlJc w:val="left"/>
      <w:pPr>
        <w:ind w:left="1440" w:hanging="360"/>
      </w:pPr>
    </w:lvl>
    <w:lvl w:ilvl="2" w:tplc="4EA0E004">
      <w:start w:val="1"/>
      <w:numFmt w:val="bullet"/>
      <w:lvlText w:val="■"/>
      <w:lvlJc w:val="left"/>
      <w:pPr>
        <w:ind w:left="2160" w:hanging="360"/>
      </w:pPr>
    </w:lvl>
    <w:lvl w:ilvl="3" w:tplc="B706069C">
      <w:start w:val="1"/>
      <w:numFmt w:val="bullet"/>
      <w:lvlText w:val="●"/>
      <w:lvlJc w:val="left"/>
      <w:pPr>
        <w:ind w:left="2880" w:hanging="360"/>
      </w:pPr>
    </w:lvl>
    <w:lvl w:ilvl="4" w:tplc="FC5CF926">
      <w:start w:val="1"/>
      <w:numFmt w:val="bullet"/>
      <w:lvlText w:val="○"/>
      <w:lvlJc w:val="left"/>
      <w:pPr>
        <w:ind w:left="3600" w:hanging="360"/>
      </w:pPr>
    </w:lvl>
    <w:lvl w:ilvl="5" w:tplc="E8246216">
      <w:start w:val="1"/>
      <w:numFmt w:val="bullet"/>
      <w:lvlText w:val="■"/>
      <w:lvlJc w:val="left"/>
      <w:pPr>
        <w:ind w:left="4320" w:hanging="360"/>
      </w:pPr>
    </w:lvl>
    <w:lvl w:ilvl="6" w:tplc="47CE0B0C">
      <w:start w:val="1"/>
      <w:numFmt w:val="bullet"/>
      <w:lvlText w:val="●"/>
      <w:lvlJc w:val="left"/>
      <w:pPr>
        <w:ind w:left="5040" w:hanging="360"/>
      </w:pPr>
    </w:lvl>
    <w:lvl w:ilvl="7" w:tplc="10C0E6D4">
      <w:start w:val="1"/>
      <w:numFmt w:val="bullet"/>
      <w:lvlText w:val="●"/>
      <w:lvlJc w:val="left"/>
      <w:pPr>
        <w:ind w:left="5760" w:hanging="360"/>
      </w:pPr>
    </w:lvl>
    <w:lvl w:ilvl="8" w:tplc="FAE484C0">
      <w:start w:val="1"/>
      <w:numFmt w:val="bullet"/>
      <w:lvlText w:val="●"/>
      <w:lvlJc w:val="left"/>
      <w:pPr>
        <w:ind w:left="6480" w:hanging="360"/>
      </w:pPr>
    </w:lvl>
  </w:abstractNum>
  <w:num w:numId="1" w16cid:durableId="68262777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C74"/>
    <w:rsid w:val="007B1C20"/>
    <w:rsid w:val="00B90913"/>
    <w:rsid w:val="00BD200C"/>
    <w:rsid w:val="00D50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CDB445F"/>
  <w15:docId w15:val="{DDA3E8A8-F33A-404F-8747-C5DCBA6B6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keepNext/>
      <w:outlineLvl w:val="0"/>
    </w:pPr>
    <w:rPr>
      <w:color w:val="2E74B5"/>
      <w:sz w:val="32"/>
      <w:szCs w:val="32"/>
    </w:rPr>
  </w:style>
  <w:style w:type="paragraph" w:styleId="Heading2">
    <w:name w:val="heading 2"/>
    <w:uiPriority w:val="9"/>
    <w:semiHidden/>
    <w:unhideWhenUsed/>
    <w:qFormat/>
    <w:pPr>
      <w:keepNext/>
      <w:outlineLvl w:val="1"/>
    </w:pPr>
    <w:rPr>
      <w:color w:val="2E74B5"/>
      <w:sz w:val="26"/>
      <w:szCs w:val="26"/>
    </w:rPr>
  </w:style>
  <w:style w:type="paragraph" w:styleId="Heading3">
    <w:name w:val="heading 3"/>
    <w:uiPriority w:val="9"/>
    <w:semiHidden/>
    <w:unhideWhenUsed/>
    <w:qFormat/>
    <w:pPr>
      <w:keepNext/>
      <w:outlineLvl w:val="2"/>
    </w:pPr>
    <w:rPr>
      <w:color w:val="1F4D78"/>
    </w:rPr>
  </w:style>
  <w:style w:type="paragraph" w:styleId="Heading4">
    <w:name w:val="heading 4"/>
    <w:uiPriority w:val="9"/>
    <w:semiHidden/>
    <w:unhideWhenUsed/>
    <w:qFormat/>
    <w:pPr>
      <w:keepNext/>
      <w:outlineLvl w:val="3"/>
    </w:pPr>
    <w:rPr>
      <w:i/>
      <w:iCs/>
      <w:color w:val="2E74B5"/>
    </w:rPr>
  </w:style>
  <w:style w:type="paragraph" w:styleId="Heading5">
    <w:name w:val="heading 5"/>
    <w:uiPriority w:val="9"/>
    <w:semiHidden/>
    <w:unhideWhenUsed/>
    <w:qFormat/>
    <w:pPr>
      <w:keepNext/>
      <w:outlineLvl w:val="4"/>
    </w:pPr>
    <w:rPr>
      <w:color w:val="2E74B5"/>
    </w:rPr>
  </w:style>
  <w:style w:type="paragraph" w:styleId="Heading6">
    <w:name w:val="heading 6"/>
    <w:uiPriority w:val="9"/>
    <w:semiHidden/>
    <w:unhideWhenUsed/>
    <w:qFormat/>
    <w:pPr>
      <w:keepNext/>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1051</Words>
  <Characters>6026</Characters>
  <Application>Microsoft Office Word</Application>
  <DocSecurity>0</DocSecurity>
  <Lines>140</Lines>
  <Paragraphs>96</Paragraphs>
  <ScaleCrop>false</ScaleCrop>
  <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Carter Hill</cp:lastModifiedBy>
  <cp:revision>2</cp:revision>
  <dcterms:created xsi:type="dcterms:W3CDTF">2026-03-30T23:14:00Z</dcterms:created>
  <dcterms:modified xsi:type="dcterms:W3CDTF">2026-03-31T03:36:00Z</dcterms:modified>
</cp:coreProperties>
</file>